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SOLICITUD DE PRÁCTICAS 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:rsidR="00EA271F" w:rsidRPr="00892683" w:rsidRDefault="00DC274E" w:rsidP="00A8010E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Convocatoria Segundo</w:t>
            </w:r>
            <w:r w:rsidR="00A8010E">
              <w:rPr>
                <w:rFonts w:ascii="Book Antiqua" w:hAnsi="Book Antiqua" w:cs="Arial"/>
                <w:b/>
              </w:rPr>
              <w:t xml:space="preserve"> Cuatrimestre (1 de marzo – 30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A8010E">
              <w:rPr>
                <w:rFonts w:ascii="Book Antiqua" w:hAnsi="Book Antiqua" w:cs="Arial"/>
                <w:b/>
              </w:rPr>
              <w:t xml:space="preserve">junio </w:t>
            </w:r>
            <w:r>
              <w:rPr>
                <w:rFonts w:ascii="Book Antiqua" w:hAnsi="Book Antiqua" w:cs="Arial"/>
                <w:b/>
              </w:rPr>
              <w:t xml:space="preserve">2024)  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A8010E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</w:tbl>
    <w:p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DC274E">
        <w:trPr>
          <w:trHeight w:val="926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A8010E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A8010E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0E" w:rsidRPr="00A8010E">
          <w:rPr>
            <w:noProof/>
            <w:lang w:val="es-ES"/>
          </w:rPr>
          <w:t>2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3132FE"/>
    <w:rsid w:val="00333B1D"/>
    <w:rsid w:val="00334C67"/>
    <w:rsid w:val="004D3A3D"/>
    <w:rsid w:val="005B2F2B"/>
    <w:rsid w:val="005F1BCD"/>
    <w:rsid w:val="0063387D"/>
    <w:rsid w:val="00805B0E"/>
    <w:rsid w:val="00892683"/>
    <w:rsid w:val="008F676C"/>
    <w:rsid w:val="00A8010E"/>
    <w:rsid w:val="00AB6560"/>
    <w:rsid w:val="00B34385"/>
    <w:rsid w:val="00B44EB3"/>
    <w:rsid w:val="00BE08B3"/>
    <w:rsid w:val="00CB3799"/>
    <w:rsid w:val="00CF412A"/>
    <w:rsid w:val="00D82818"/>
    <w:rsid w:val="00DC274E"/>
    <w:rsid w:val="00EA271F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B44E67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5B96-FCA6-4AD8-BAC5-DCBBE98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Higueras Ortega, Irene</dc:creator>
  <cp:lastModifiedBy>Outeiro, J. Manuel</cp:lastModifiedBy>
  <cp:revision>6</cp:revision>
  <dcterms:created xsi:type="dcterms:W3CDTF">2023-12-15T12:39:00Z</dcterms:created>
  <dcterms:modified xsi:type="dcterms:W3CDTF">2023-12-18T09:18:00Z</dcterms:modified>
</cp:coreProperties>
</file>